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color w:val="635BFF"/>
          <w:sz w:val="32"/>
        </w:rPr>
        <w:t>Wohnflächenberechnung – Vorlage</w:t>
      </w:r>
    </w:p>
    <w:p>
      <w:pPr>
        <w:spacing w:after="160" w:before="0"/>
      </w:pPr>
      <w:r>
        <w:rPr>
          <w:b w:val="0"/>
          <w:color w:val="4F566B"/>
          <w:sz w:val="17"/>
        </w:rPr>
        <w:t>Wohnflächenberechnung nach WoFlV – Vorlage von Wunderloop (wunderloop.de). Zum Ausfüllen am Rechner bzw. von Hand.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8A93A6"/>
          <w:left w:val="single" w:sz="4" w:space="0" w:color="8A93A6"/>
          <w:bottom w:val="single" w:sz="4" w:space="0" w:color="8A93A6"/>
          <w:right w:val="single" w:sz="4" w:space="0" w:color="8A93A6"/>
          <w:insideH w:val="single" w:sz="4" w:space="0" w:color="8A93A6"/>
          <w:insideV w:val="single" w:sz="4" w:space="0" w:color="8A93A6"/>
        </w:tblBorders>
      </w:tblPr>
      <w:tblGrid>
        <w:gridCol w:w="5103"/>
        <w:gridCol w:w="5103"/>
      </w:tblGrid>
      <w:tr>
        <w:trPr>
          <w:trHeight w:val="425"/>
        </w:trPr>
        <w:tc>
          <w:tcPr>
            <w:tcW w:type="dxa" w:w="3969"/>
            <w:shd w:val="clear" w:color="auto" w:fill="F6F9FC"/>
          </w:tcPr>
          <w:p>
            <w:r>
              <w:rPr>
                <w:b/>
                <w:sz w:val="18"/>
              </w:rPr>
              <w:t>Objekt (Adresse)</w:t>
            </w:r>
          </w:p>
        </w:tc>
        <w:tc>
          <w:tcPr>
            <w:tcW w:type="dxa" w:w="6236"/>
          </w:tcPr>
          <w:p>
            <w:r/>
          </w:p>
        </w:tc>
      </w:tr>
      <w:tr>
        <w:trPr>
          <w:trHeight w:val="425"/>
        </w:trPr>
        <w:tc>
          <w:tcPr>
            <w:tcW w:type="dxa" w:w="3969"/>
            <w:shd w:val="clear" w:color="auto" w:fill="F6F9FC"/>
          </w:tcPr>
          <w:p>
            <w:r>
              <w:rPr>
                <w:b/>
                <w:sz w:val="18"/>
              </w:rPr>
              <w:t>Geschoss / Wohneinheit</w:t>
            </w:r>
          </w:p>
        </w:tc>
        <w:tc>
          <w:tcPr>
            <w:tcW w:type="dxa" w:w="6236"/>
          </w:tcPr>
          <w:p>
            <w:r/>
          </w:p>
        </w:tc>
      </w:tr>
      <w:tr>
        <w:trPr>
          <w:trHeight w:val="425"/>
        </w:trPr>
        <w:tc>
          <w:tcPr>
            <w:tcW w:type="dxa" w:w="3969"/>
            <w:shd w:val="clear" w:color="auto" w:fill="F6F9FC"/>
          </w:tcPr>
          <w:p>
            <w:r>
              <w:rPr>
                <w:b/>
                <w:sz w:val="18"/>
              </w:rPr>
              <w:t>Grundlage (Plan mit Datum oder eigenes Aufmaß)</w:t>
            </w:r>
          </w:p>
        </w:tc>
        <w:tc>
          <w:tcPr>
            <w:tcW w:type="dxa" w:w="6236"/>
          </w:tcPr>
          <w:p>
            <w:r/>
          </w:p>
        </w:tc>
      </w:tr>
      <w:tr>
        <w:trPr>
          <w:trHeight w:val="425"/>
        </w:trPr>
        <w:tc>
          <w:tcPr>
            <w:tcW w:type="dxa" w:w="3969"/>
            <w:shd w:val="clear" w:color="auto" w:fill="F6F9FC"/>
          </w:tcPr>
          <w:p>
            <w:r>
              <w:rPr>
                <w:b/>
                <w:sz w:val="18"/>
              </w:rPr>
              <w:t>Ersteller</w:t>
            </w:r>
          </w:p>
        </w:tc>
        <w:tc>
          <w:tcPr>
            <w:tcW w:type="dxa" w:w="6236"/>
          </w:tcPr>
          <w:p>
            <w:r/>
          </w:p>
        </w:tc>
      </w:tr>
      <w:tr>
        <w:trPr>
          <w:trHeight w:val="425"/>
        </w:trPr>
        <w:tc>
          <w:tcPr>
            <w:tcW w:type="dxa" w:w="3969"/>
            <w:shd w:val="clear" w:color="auto" w:fill="F6F9FC"/>
          </w:tcPr>
          <w:p>
            <w:r>
              <w:rPr>
                <w:b/>
                <w:sz w:val="18"/>
              </w:rPr>
              <w:t>Datum</w:t>
            </w:r>
          </w:p>
        </w:tc>
        <w:tc>
          <w:tcPr>
            <w:tcW w:type="dxa" w:w="6236"/>
          </w:tcPr>
          <w:p>
            <w:r/>
          </w:p>
        </w:tc>
      </w:tr>
      <w:tr>
        <w:trPr>
          <w:trHeight w:val="425"/>
        </w:trPr>
        <w:tc>
          <w:tcPr>
            <w:tcW w:type="dxa" w:w="3969"/>
            <w:shd w:val="clear" w:color="auto" w:fill="F6F9FC"/>
          </w:tcPr>
          <w:p>
            <w:r>
              <w:rPr>
                <w:b/>
                <w:sz w:val="18"/>
              </w:rPr>
              <w:t>Unterschrift</w:t>
            </w:r>
          </w:p>
        </w:tc>
        <w:tc>
          <w:tcPr>
            <w:tcW w:type="dxa" w:w="6236"/>
          </w:tcPr>
          <w:p>
            <w:r/>
          </w:p>
        </w:tc>
      </w:tr>
    </w:tbl>
    <w:p>
      <w:pPr>
        <w:spacing w:after="80" w:before="0"/>
      </w:pPr>
      <w:r>
        <w:rPr>
          <w:b w:val="0"/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8A93A6"/>
          <w:left w:val="single" w:sz="4" w:space="0" w:color="8A93A6"/>
          <w:bottom w:val="single" w:sz="4" w:space="0" w:color="8A93A6"/>
          <w:right w:val="single" w:sz="4" w:space="0" w:color="8A93A6"/>
          <w:insideH w:val="single" w:sz="4" w:space="0" w:color="8A93A6"/>
          <w:insideV w:val="single" w:sz="4" w:space="0" w:color="8A93A6"/>
        </w:tblBorders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trHeight w:val="397"/>
        </w:trPr>
        <w:tc>
          <w:tcPr>
            <w:tcW w:type="dxa" w:w="2041"/>
            <w:shd w:val="clear" w:color="auto" w:fill="635BFF"/>
          </w:tcPr>
          <w:p>
            <w:r>
              <w:rPr>
                <w:b/>
                <w:color w:val="FFFFFF"/>
                <w:sz w:val="16"/>
              </w:rPr>
              <w:t>Raum</w:t>
            </w:r>
          </w:p>
        </w:tc>
        <w:tc>
          <w:tcPr>
            <w:tcW w:type="dxa" w:w="1417"/>
            <w:shd w:val="clear" w:color="auto" w:fill="635BFF"/>
          </w:tcPr>
          <w:p>
            <w:r>
              <w:rPr>
                <w:b/>
                <w:color w:val="FFFFFF"/>
                <w:sz w:val="16"/>
              </w:rPr>
              <w:t>Raumart</w:t>
            </w:r>
          </w:p>
        </w:tc>
        <w:tc>
          <w:tcPr>
            <w:tcW w:type="dxa" w:w="907"/>
            <w:shd w:val="clear" w:color="auto" w:fill="635BFF"/>
          </w:tcPr>
          <w:p>
            <w:r>
              <w:rPr>
                <w:b/>
                <w:color w:val="FFFFFF"/>
                <w:sz w:val="16"/>
              </w:rPr>
              <w:t>Länge (m)</w:t>
            </w:r>
          </w:p>
        </w:tc>
        <w:tc>
          <w:tcPr>
            <w:tcW w:type="dxa" w:w="907"/>
            <w:shd w:val="clear" w:color="auto" w:fill="635BFF"/>
          </w:tcPr>
          <w:p>
            <w:r>
              <w:rPr>
                <w:b/>
                <w:color w:val="FFFFFF"/>
                <w:sz w:val="16"/>
              </w:rPr>
              <w:t>Breite (m)</w:t>
            </w:r>
          </w:p>
        </w:tc>
        <w:tc>
          <w:tcPr>
            <w:tcW w:type="dxa" w:w="1020"/>
            <w:shd w:val="clear" w:color="auto" w:fill="635BFF"/>
          </w:tcPr>
          <w:p>
            <w:r>
              <w:rPr>
                <w:b/>
                <w:color w:val="FFFFFF"/>
                <w:sz w:val="16"/>
              </w:rPr>
              <w:t>Lichte Höhe (m)</w:t>
            </w:r>
          </w:p>
        </w:tc>
        <w:tc>
          <w:tcPr>
            <w:tcW w:type="dxa" w:w="1191"/>
            <w:shd w:val="clear" w:color="auto" w:fill="635BFF"/>
          </w:tcPr>
          <w:p>
            <w:r>
              <w:rPr>
                <w:b/>
                <w:color w:val="FFFFFF"/>
                <w:sz w:val="16"/>
              </w:rPr>
              <w:t>Grundfläche (m²)</w:t>
            </w:r>
          </w:p>
        </w:tc>
        <w:tc>
          <w:tcPr>
            <w:tcW w:type="dxa" w:w="737"/>
            <w:shd w:val="clear" w:color="auto" w:fill="635BFF"/>
          </w:tcPr>
          <w:p>
            <w:r>
              <w:rPr>
                <w:b/>
                <w:color w:val="FFFFFF"/>
                <w:sz w:val="16"/>
              </w:rPr>
              <w:t>Faktor</w:t>
            </w:r>
          </w:p>
        </w:tc>
        <w:tc>
          <w:tcPr>
            <w:tcW w:type="dxa" w:w="1417"/>
            <w:shd w:val="clear" w:color="auto" w:fill="635BFF"/>
          </w:tcPr>
          <w:p>
            <w:r>
              <w:rPr>
                <w:b/>
                <w:color w:val="FFFFFF"/>
                <w:sz w:val="16"/>
              </w:rPr>
              <w:t>Anrechenbare Fläche (m²)</w:t>
            </w:r>
          </w:p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</w:tcPr>
          <w:p/>
        </w:tc>
        <w:tc>
          <w:tcPr>
            <w:tcW w:type="dxa" w:w="1417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417"/>
          </w:tcPr>
          <w:p/>
        </w:tc>
      </w:tr>
      <w:tr>
        <w:trPr>
          <w:trHeight w:val="397"/>
        </w:trPr>
        <w:tc>
          <w:tcPr>
            <w:tcW w:type="dxa" w:w="2041"/>
            <w:shd w:val="clear" w:color="auto" w:fill="F6F9FC"/>
          </w:tcPr>
          <w:p>
            <w:r>
              <w:rPr>
                <w:b/>
                <w:sz w:val="18"/>
              </w:rPr>
              <w:t>Summe Geschoss / Wohneinheit 1</w:t>
            </w:r>
          </w:p>
        </w:tc>
        <w:tc>
          <w:tcPr>
            <w:tcW w:type="dxa" w:w="1417"/>
            <w:shd w:val="clear" w:color="auto" w:fill="F6F9FC"/>
          </w:tcPr>
          <w:p/>
        </w:tc>
        <w:tc>
          <w:tcPr>
            <w:tcW w:type="dxa" w:w="907"/>
            <w:shd w:val="clear" w:color="auto" w:fill="F6F9FC"/>
          </w:tcPr>
          <w:p/>
        </w:tc>
        <w:tc>
          <w:tcPr>
            <w:tcW w:type="dxa" w:w="907"/>
            <w:shd w:val="clear" w:color="auto" w:fill="F6F9FC"/>
          </w:tcPr>
          <w:p/>
        </w:tc>
        <w:tc>
          <w:tcPr>
            <w:tcW w:type="dxa" w:w="1020"/>
            <w:shd w:val="clear" w:color="auto" w:fill="F6F9FC"/>
          </w:tcPr>
          <w:p/>
        </w:tc>
        <w:tc>
          <w:tcPr>
            <w:tcW w:type="dxa" w:w="1191"/>
            <w:shd w:val="clear" w:color="auto" w:fill="F6F9FC"/>
          </w:tcPr>
          <w:p/>
        </w:tc>
        <w:tc>
          <w:tcPr>
            <w:tcW w:type="dxa" w:w="737"/>
            <w:shd w:val="clear" w:color="auto" w:fill="F6F9FC"/>
          </w:tcPr>
          <w:p/>
        </w:tc>
        <w:tc>
          <w:tcPr>
            <w:tcW w:type="dxa" w:w="1417"/>
            <w:shd w:val="clear" w:color="auto" w:fill="F6F9FC"/>
          </w:tcPr>
          <w:p/>
        </w:tc>
      </w:tr>
      <w:tr>
        <w:trPr>
          <w:trHeight w:val="397"/>
        </w:trPr>
        <w:tc>
          <w:tcPr>
            <w:tcW w:type="dxa" w:w="2041"/>
            <w:shd w:val="clear" w:color="auto" w:fill="F6F9FC"/>
          </w:tcPr>
          <w:p>
            <w:r>
              <w:rPr>
                <w:b/>
                <w:sz w:val="18"/>
              </w:rPr>
              <w:t>Summe Geschoss / Wohneinheit 2</w:t>
            </w:r>
          </w:p>
        </w:tc>
        <w:tc>
          <w:tcPr>
            <w:tcW w:type="dxa" w:w="1417"/>
            <w:shd w:val="clear" w:color="auto" w:fill="F6F9FC"/>
          </w:tcPr>
          <w:p/>
        </w:tc>
        <w:tc>
          <w:tcPr>
            <w:tcW w:type="dxa" w:w="907"/>
            <w:shd w:val="clear" w:color="auto" w:fill="F6F9FC"/>
          </w:tcPr>
          <w:p/>
        </w:tc>
        <w:tc>
          <w:tcPr>
            <w:tcW w:type="dxa" w:w="907"/>
            <w:shd w:val="clear" w:color="auto" w:fill="F6F9FC"/>
          </w:tcPr>
          <w:p/>
        </w:tc>
        <w:tc>
          <w:tcPr>
            <w:tcW w:type="dxa" w:w="1020"/>
            <w:shd w:val="clear" w:color="auto" w:fill="F6F9FC"/>
          </w:tcPr>
          <w:p/>
        </w:tc>
        <w:tc>
          <w:tcPr>
            <w:tcW w:type="dxa" w:w="1191"/>
            <w:shd w:val="clear" w:color="auto" w:fill="F6F9FC"/>
          </w:tcPr>
          <w:p/>
        </w:tc>
        <w:tc>
          <w:tcPr>
            <w:tcW w:type="dxa" w:w="737"/>
            <w:shd w:val="clear" w:color="auto" w:fill="F6F9FC"/>
          </w:tcPr>
          <w:p/>
        </w:tc>
        <w:tc>
          <w:tcPr>
            <w:tcW w:type="dxa" w:w="1417"/>
            <w:shd w:val="clear" w:color="auto" w:fill="F6F9FC"/>
          </w:tcPr>
          <w:p/>
        </w:tc>
      </w:tr>
      <w:tr>
        <w:trPr>
          <w:trHeight w:val="397"/>
        </w:trPr>
        <w:tc>
          <w:tcPr>
            <w:tcW w:type="dxa" w:w="2041"/>
            <w:shd w:val="clear" w:color="auto" w:fill="F6F9FC"/>
          </w:tcPr>
          <w:p>
            <w:r>
              <w:rPr>
                <w:b/>
                <w:sz w:val="18"/>
              </w:rPr>
              <w:t>Summe Geschoss / Wohneinheit 3</w:t>
            </w:r>
          </w:p>
        </w:tc>
        <w:tc>
          <w:tcPr>
            <w:tcW w:type="dxa" w:w="1417"/>
            <w:shd w:val="clear" w:color="auto" w:fill="F6F9FC"/>
          </w:tcPr>
          <w:p/>
        </w:tc>
        <w:tc>
          <w:tcPr>
            <w:tcW w:type="dxa" w:w="907"/>
            <w:shd w:val="clear" w:color="auto" w:fill="F6F9FC"/>
          </w:tcPr>
          <w:p/>
        </w:tc>
        <w:tc>
          <w:tcPr>
            <w:tcW w:type="dxa" w:w="907"/>
            <w:shd w:val="clear" w:color="auto" w:fill="F6F9FC"/>
          </w:tcPr>
          <w:p/>
        </w:tc>
        <w:tc>
          <w:tcPr>
            <w:tcW w:type="dxa" w:w="1020"/>
            <w:shd w:val="clear" w:color="auto" w:fill="F6F9FC"/>
          </w:tcPr>
          <w:p/>
        </w:tc>
        <w:tc>
          <w:tcPr>
            <w:tcW w:type="dxa" w:w="1191"/>
            <w:shd w:val="clear" w:color="auto" w:fill="F6F9FC"/>
          </w:tcPr>
          <w:p/>
        </w:tc>
        <w:tc>
          <w:tcPr>
            <w:tcW w:type="dxa" w:w="737"/>
            <w:shd w:val="clear" w:color="auto" w:fill="F6F9FC"/>
          </w:tcPr>
          <w:p/>
        </w:tc>
        <w:tc>
          <w:tcPr>
            <w:tcW w:type="dxa" w:w="1417"/>
            <w:shd w:val="clear" w:color="auto" w:fill="F6F9FC"/>
          </w:tcPr>
          <w:p/>
        </w:tc>
      </w:tr>
      <w:tr>
        <w:trPr>
          <w:trHeight w:val="397"/>
        </w:trPr>
        <w:tc>
          <w:tcPr>
            <w:tcW w:type="dxa" w:w="2041"/>
            <w:shd w:val="clear" w:color="auto" w:fill="F6F9FC"/>
          </w:tcPr>
          <w:p>
            <w:r>
              <w:rPr>
                <w:b/>
                <w:sz w:val="18"/>
              </w:rPr>
              <w:t>Wohnfläche gesamt (m²)</w:t>
            </w:r>
          </w:p>
        </w:tc>
        <w:tc>
          <w:tcPr>
            <w:tcW w:type="dxa" w:w="1417"/>
            <w:shd w:val="clear" w:color="auto" w:fill="F6F9FC"/>
          </w:tcPr>
          <w:p/>
        </w:tc>
        <w:tc>
          <w:tcPr>
            <w:tcW w:type="dxa" w:w="907"/>
            <w:shd w:val="clear" w:color="auto" w:fill="F6F9FC"/>
          </w:tcPr>
          <w:p/>
        </w:tc>
        <w:tc>
          <w:tcPr>
            <w:tcW w:type="dxa" w:w="907"/>
            <w:shd w:val="clear" w:color="auto" w:fill="F6F9FC"/>
          </w:tcPr>
          <w:p/>
        </w:tc>
        <w:tc>
          <w:tcPr>
            <w:tcW w:type="dxa" w:w="1020"/>
            <w:shd w:val="clear" w:color="auto" w:fill="F6F9FC"/>
          </w:tcPr>
          <w:p/>
        </w:tc>
        <w:tc>
          <w:tcPr>
            <w:tcW w:type="dxa" w:w="1191"/>
            <w:shd w:val="clear" w:color="auto" w:fill="F6F9FC"/>
          </w:tcPr>
          <w:p/>
        </w:tc>
        <w:tc>
          <w:tcPr>
            <w:tcW w:type="dxa" w:w="737"/>
            <w:shd w:val="clear" w:color="auto" w:fill="F6F9FC"/>
          </w:tcPr>
          <w:p/>
        </w:tc>
        <w:tc>
          <w:tcPr>
            <w:tcW w:type="dxa" w:w="1417"/>
            <w:shd w:val="clear" w:color="auto" w:fill="F6F9FC"/>
          </w:tcPr>
          <w:p/>
        </w:tc>
      </w:tr>
    </w:tbl>
    <w:p>
      <w:pPr>
        <w:spacing w:after="120" w:before="0"/>
      </w:pPr>
      <w:r>
        <w:rPr>
          <w:b w:val="0"/>
          <w:sz w:val="8"/>
        </w:rPr>
      </w:r>
    </w:p>
    <w:p>
      <w:pPr>
        <w:spacing w:after="60" w:before="0"/>
      </w:pPr>
      <w:r>
        <w:rPr>
          <w:b/>
          <w:sz w:val="20"/>
        </w:rPr>
        <w:t>So gehen Sie vor:</w:t>
      </w:r>
    </w:p>
    <w:p>
      <w:pPr>
        <w:spacing w:after="40" w:before="0"/>
      </w:pPr>
      <w:r>
        <w:rPr>
          <w:b w:val="0"/>
          <w:sz w:val="17"/>
        </w:rPr>
        <w:t>1. Jeden Raum einzeln eintragen: Länge und Breite als lichtes Maß (Wand bis Wand, fertige Oberfläche), lichte Höhe in Metern.</w:t>
      </w:r>
    </w:p>
    <w:p>
      <w:pPr>
        <w:spacing w:after="40" w:before="0"/>
      </w:pPr>
      <w:r>
        <w:rPr>
          <w:b w:val="0"/>
          <w:sz w:val="17"/>
        </w:rPr>
        <w:t>2. Räume mit Dachschräge in Zonen aufteilen: eine Zeile je Zone (ab 2 m, 1 bis 2 m, unter 1 m). Als lichte Höhe geben Sie einen Wert aus der jeweiligen Zone ein.</w:t>
      </w:r>
    </w:p>
    <w:p>
      <w:pPr>
        <w:spacing w:after="40" w:before="0"/>
      </w:pPr>
      <w:r>
        <w:rPr>
          <w:b w:val="0"/>
          <w:sz w:val="17"/>
        </w:rPr>
        <w:t>3. Raumart eintragen: Wohnraum, Balkon/Terrasse, Wintergarten unbeheizbar oder Zubehörraum (zählt nicht zur Wohnfläche).</w:t>
      </w:r>
    </w:p>
    <w:p>
      <w:pPr>
        <w:spacing w:after="40" w:before="0"/>
      </w:pPr>
      <w:r>
        <w:rPr>
          <w:b w:val="0"/>
          <w:sz w:val="17"/>
        </w:rPr>
        <w:t>4. Grundfläche = Länge × Breite. Anrechenbare Fläche = Grundfläche × Faktor (Tabelle unten, § 4 WoFlV). Die Summe ist Ihre Wohnfläche.</w:t>
      </w:r>
    </w:p>
    <w:p>
      <w:pPr>
        <w:spacing w:after="80" w:before="0"/>
      </w:pPr>
      <w:r>
        <w:rPr>
          <w:b w:val="0"/>
          <w:sz w:val="8"/>
        </w:rPr>
      </w:r>
    </w:p>
    <w:p>
      <w:pPr>
        <w:spacing w:after="60" w:before="0"/>
      </w:pPr>
      <w:r>
        <w:rPr>
          <w:b/>
          <w:sz w:val="20"/>
        </w:rPr>
        <w:t>Anrechnungsfaktoren nach Wohnflächenverordnung (WoFlV), § 4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8A93A6"/>
          <w:left w:val="single" w:sz="4" w:space="0" w:color="8A93A6"/>
          <w:bottom w:val="single" w:sz="4" w:space="0" w:color="8A93A6"/>
          <w:right w:val="single" w:sz="4" w:space="0" w:color="8A93A6"/>
          <w:insideH w:val="single" w:sz="4" w:space="0" w:color="8A93A6"/>
          <w:insideV w:val="single" w:sz="4" w:space="0" w:color="8A93A6"/>
        </w:tblBorders>
      </w:tblPr>
      <w:tblGrid>
        <w:gridCol w:w="3402"/>
        <w:gridCol w:w="3402"/>
        <w:gridCol w:w="3402"/>
      </w:tblGrid>
      <w:tr>
        <w:tc>
          <w:tcPr>
            <w:tcW w:type="dxa" w:w="4082"/>
            <w:shd w:val="clear" w:color="auto" w:fill="F6F9FC"/>
          </w:tcPr>
          <w:p>
            <w:r>
              <w:rPr>
                <w:b/>
                <w:sz w:val="17"/>
              </w:rPr>
              <w:t>Raumart</w:t>
            </w:r>
          </w:p>
        </w:tc>
        <w:tc>
          <w:tcPr>
            <w:tcW w:type="dxa" w:w="907"/>
            <w:shd w:val="clear" w:color="auto" w:fill="F6F9FC"/>
          </w:tcPr>
          <w:p>
            <w:r>
              <w:rPr>
                <w:b/>
                <w:sz w:val="17"/>
              </w:rPr>
              <w:t>Faktor</w:t>
            </w:r>
          </w:p>
        </w:tc>
        <w:tc>
          <w:tcPr>
            <w:tcW w:type="dxa" w:w="5216"/>
            <w:shd w:val="clear" w:color="auto" w:fill="F6F9FC"/>
          </w:tcPr>
          <w:p>
            <w:r>
              <w:rPr>
                <w:b/>
                <w:sz w:val="17"/>
              </w:rPr>
              <w:t>Grundlage</w:t>
            </w:r>
          </w:p>
        </w:tc>
      </w:tr>
      <w:tr>
        <w:tc>
          <w:tcPr>
            <w:tcW w:type="dxa" w:w="4082"/>
          </w:tcPr>
          <w:p>
            <w:r>
              <w:rPr>
                <w:sz w:val="17"/>
              </w:rPr>
              <w:t>Wohnraum, lichte Höhe mindestens 2 m</w:t>
            </w:r>
          </w:p>
        </w:tc>
        <w:tc>
          <w:tcPr>
            <w:tcW w:type="dxa" w:w="907"/>
          </w:tcPr>
          <w:p>
            <w:r>
              <w:rPr>
                <w:sz w:val="17"/>
              </w:rPr>
              <w:t>100 %</w:t>
            </w:r>
          </w:p>
        </w:tc>
        <w:tc>
          <w:tcPr>
            <w:tcW w:type="dxa" w:w="5216"/>
          </w:tcPr>
          <w:p>
            <w:r>
              <w:rPr>
                <w:sz w:val="17"/>
              </w:rPr>
              <w:t>§ 4 Nr. 1 WoFlV</w:t>
            </w:r>
          </w:p>
        </w:tc>
      </w:tr>
      <w:tr>
        <w:tc>
          <w:tcPr>
            <w:tcW w:type="dxa" w:w="4082"/>
          </w:tcPr>
          <w:p>
            <w:r>
              <w:rPr>
                <w:sz w:val="17"/>
              </w:rPr>
              <w:t>Wohnraum, lichte Höhe 1 m bis unter 2 m</w:t>
            </w:r>
          </w:p>
        </w:tc>
        <w:tc>
          <w:tcPr>
            <w:tcW w:type="dxa" w:w="907"/>
          </w:tcPr>
          <w:p>
            <w:r>
              <w:rPr>
                <w:sz w:val="17"/>
              </w:rPr>
              <w:t>50 %</w:t>
            </w:r>
          </w:p>
        </w:tc>
        <w:tc>
          <w:tcPr>
            <w:tcW w:type="dxa" w:w="5216"/>
          </w:tcPr>
          <w:p>
            <w:r>
              <w:rPr>
                <w:sz w:val="17"/>
              </w:rPr>
              <w:t>§ 4 Nr. 2 WoFlV</w:t>
            </w:r>
          </w:p>
        </w:tc>
      </w:tr>
      <w:tr>
        <w:tc>
          <w:tcPr>
            <w:tcW w:type="dxa" w:w="4082"/>
          </w:tcPr>
          <w:p>
            <w:r>
              <w:rPr>
                <w:sz w:val="17"/>
              </w:rPr>
              <w:t>Wohnraum, lichte Höhe unter 1 m</w:t>
            </w:r>
          </w:p>
        </w:tc>
        <w:tc>
          <w:tcPr>
            <w:tcW w:type="dxa" w:w="907"/>
          </w:tcPr>
          <w:p>
            <w:r>
              <w:rPr>
                <w:sz w:val="17"/>
              </w:rPr>
              <w:t>0 %</w:t>
            </w:r>
          </w:p>
        </w:tc>
        <w:tc>
          <w:tcPr>
            <w:tcW w:type="dxa" w:w="5216"/>
          </w:tcPr>
          <w:p>
            <w:r>
              <w:rPr>
                <w:sz w:val="17"/>
              </w:rPr>
              <w:t>keine Anrechnung: § 4 Nr. 1 und 2 WoFlV erfassen nur Höhen ab 1 m</w:t>
            </w:r>
          </w:p>
        </w:tc>
      </w:tr>
      <w:tr>
        <w:tc>
          <w:tcPr>
            <w:tcW w:type="dxa" w:w="4082"/>
          </w:tcPr>
          <w:p>
            <w:r>
              <w:rPr>
                <w:sz w:val="17"/>
              </w:rPr>
              <w:t>Balkon, Loggia, Terrasse, Dachgarten</w:t>
            </w:r>
          </w:p>
        </w:tc>
        <w:tc>
          <w:tcPr>
            <w:tcW w:type="dxa" w:w="907"/>
          </w:tcPr>
          <w:p>
            <w:r>
              <w:rPr>
                <w:sz w:val="17"/>
              </w:rPr>
              <w:t>25 %</w:t>
            </w:r>
          </w:p>
        </w:tc>
        <w:tc>
          <w:tcPr>
            <w:tcW w:type="dxa" w:w="5216"/>
          </w:tcPr>
          <w:p>
            <w:r>
              <w:rPr>
                <w:sz w:val="17"/>
              </w:rPr>
              <w:t>§ 4 Nr. 4 WoFlV (in der Regel ein Viertel, höchstens die Hälfte)</w:t>
            </w:r>
          </w:p>
        </w:tc>
      </w:tr>
      <w:tr>
        <w:tc>
          <w:tcPr>
            <w:tcW w:type="dxa" w:w="4082"/>
          </w:tcPr>
          <w:p>
            <w:r>
              <w:rPr>
                <w:sz w:val="17"/>
              </w:rPr>
              <w:t>Unbeheizbarer Wintergarten, Schwimmbad</w:t>
            </w:r>
          </w:p>
        </w:tc>
        <w:tc>
          <w:tcPr>
            <w:tcW w:type="dxa" w:w="907"/>
          </w:tcPr>
          <w:p>
            <w:r>
              <w:rPr>
                <w:sz w:val="17"/>
              </w:rPr>
              <w:t>50 %</w:t>
            </w:r>
          </w:p>
        </w:tc>
        <w:tc>
          <w:tcPr>
            <w:tcW w:type="dxa" w:w="5216"/>
          </w:tcPr>
          <w:p>
            <w:r>
              <w:rPr>
                <w:sz w:val="17"/>
              </w:rPr>
              <w:t>§ 4 Nr. 3 WoFlV</w:t>
            </w:r>
          </w:p>
        </w:tc>
      </w:tr>
      <w:tr>
        <w:tc>
          <w:tcPr>
            <w:tcW w:type="dxa" w:w="4082"/>
          </w:tcPr>
          <w:p>
            <w:r>
              <w:rPr>
                <w:sz w:val="17"/>
              </w:rPr>
              <w:t>Zubehörraum (Keller, Abstellraum außerhalb der Wohnung, Heizraum)</w:t>
            </w:r>
          </w:p>
        </w:tc>
        <w:tc>
          <w:tcPr>
            <w:tcW w:type="dxa" w:w="907"/>
          </w:tcPr>
          <w:p>
            <w:r>
              <w:rPr>
                <w:sz w:val="17"/>
              </w:rPr>
              <w:t>0 %</w:t>
            </w:r>
          </w:p>
        </w:tc>
        <w:tc>
          <w:tcPr>
            <w:tcW w:type="dxa" w:w="5216"/>
          </w:tcPr>
          <w:p>
            <w:r>
              <w:rPr>
                <w:sz w:val="17"/>
              </w:rPr>
              <w:t>§ 2 Abs. 3 Nr. 1 WoFlV: zählt nicht zur Wohnfläche</w:t>
            </w:r>
          </w:p>
        </w:tc>
      </w:tr>
    </w:tbl>
    <w:p>
      <w:pPr>
        <w:spacing w:after="80" w:before="0"/>
      </w:pPr>
      <w:r>
        <w:rPr>
          <w:b w:val="0"/>
          <w:sz w:val="8"/>
        </w:rPr>
      </w:r>
    </w:p>
    <w:p>
      <w:pPr>
        <w:spacing w:after="80" w:before="0"/>
      </w:pPr>
      <w:r>
        <w:rPr>
          <w:b w:val="0"/>
          <w:color w:val="4F566B"/>
          <w:sz w:val="17"/>
        </w:rPr>
        <w:t>Hinweis: Diese Vorlage ersetzt keine qualifizierte Wohnflächenberechnung. Für Bank, Verkauf oder Mietvertrag: wunderloop.de/wohnflaechenberechnung</w:t>
      </w:r>
    </w:p>
    <w:sectPr w:rsidR="00FC693F" w:rsidRPr="0006063C" w:rsidSect="00034616">
      <w:footerReference w:type="default" r:id="rId9"/>
      <w:pgSz w:w="11906" w:h="16838"/>
      <w:pgMar w:top="850" w:right="850" w:bottom="102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386"/>
        <w:sz w:val="16"/>
      </w:rPr>
      <w:t>Vorlage: Wunderloop GmbH, wunderloop.de · Berechnung nach Wohnflächenverordnung (WoFlV)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